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4CFACC19" w:rsidR="002B4F4A" w:rsidRPr="00BE7307" w:rsidRDefault="00CC6142" w:rsidP="00721D02">
      <w:pPr>
        <w:spacing w:after="0"/>
        <w:jc w:val="center"/>
        <w:rPr>
          <w:rFonts w:ascii="Verdana" w:hAnsi="Verdana"/>
          <w:b/>
          <w:bCs/>
          <w:sz w:val="20"/>
          <w:szCs w:val="20"/>
        </w:rPr>
      </w:pPr>
      <w:r w:rsidRPr="00BE7307">
        <w:rPr>
          <w:rFonts w:ascii="Verdana" w:hAnsi="Verdana"/>
          <w:b/>
          <w:bCs/>
          <w:sz w:val="20"/>
          <w:szCs w:val="20"/>
        </w:rPr>
        <w:t>PARTE</w:t>
      </w:r>
      <w:r w:rsidR="00A41E5E" w:rsidRPr="00BE7307">
        <w:rPr>
          <w:rFonts w:ascii="Verdana" w:hAnsi="Verdana"/>
          <w:b/>
          <w:bCs/>
          <w:sz w:val="20"/>
          <w:szCs w:val="20"/>
        </w:rPr>
        <w:t xml:space="preserve"> </w:t>
      </w:r>
      <w:r w:rsidR="0060639E" w:rsidRPr="00BE7307">
        <w:rPr>
          <w:rFonts w:ascii="Verdana" w:hAnsi="Verdana"/>
          <w:b/>
          <w:bCs/>
          <w:sz w:val="20"/>
          <w:szCs w:val="20"/>
        </w:rPr>
        <w:t>3</w:t>
      </w:r>
    </w:p>
    <w:p w14:paraId="6000F327" w14:textId="7DB31351" w:rsidR="0006736C" w:rsidRPr="00BE7307" w:rsidRDefault="0060639E" w:rsidP="00721D02">
      <w:pPr>
        <w:spacing w:after="0"/>
        <w:jc w:val="center"/>
        <w:rPr>
          <w:rFonts w:ascii="Verdana" w:hAnsi="Verdana"/>
          <w:b/>
          <w:bCs/>
          <w:sz w:val="20"/>
          <w:szCs w:val="20"/>
        </w:rPr>
      </w:pPr>
      <w:r w:rsidRPr="00BE7307">
        <w:rPr>
          <w:rFonts w:ascii="Verdana" w:hAnsi="Verdana"/>
          <w:b/>
          <w:bCs/>
          <w:sz w:val="20"/>
          <w:szCs w:val="20"/>
        </w:rPr>
        <w:t>INFORMACIÓN FINANCIERA Y ESQUEMAS DE REPORTE</w:t>
      </w:r>
    </w:p>
    <w:p w14:paraId="1BF07C81" w14:textId="77777777" w:rsidR="00721D02" w:rsidRPr="00BE7307" w:rsidRDefault="00721D02" w:rsidP="00721D02">
      <w:pPr>
        <w:spacing w:after="0"/>
        <w:jc w:val="center"/>
        <w:rPr>
          <w:rFonts w:ascii="Verdana" w:hAnsi="Verdana"/>
          <w:b/>
          <w:bCs/>
          <w:sz w:val="20"/>
          <w:szCs w:val="20"/>
        </w:rPr>
      </w:pPr>
    </w:p>
    <w:p w14:paraId="438B98D3" w14:textId="16D7016F" w:rsidR="00A41E5E" w:rsidRPr="00BE7307" w:rsidRDefault="00A41E5E" w:rsidP="00721D02">
      <w:pPr>
        <w:spacing w:after="0"/>
        <w:jc w:val="center"/>
        <w:rPr>
          <w:rFonts w:ascii="Verdana" w:hAnsi="Verdana"/>
          <w:b/>
          <w:bCs/>
          <w:sz w:val="20"/>
          <w:szCs w:val="20"/>
        </w:rPr>
      </w:pPr>
      <w:r w:rsidRPr="00BE7307">
        <w:rPr>
          <w:rFonts w:ascii="Verdana" w:hAnsi="Verdana"/>
          <w:b/>
          <w:bCs/>
          <w:sz w:val="20"/>
          <w:szCs w:val="20"/>
        </w:rPr>
        <w:t xml:space="preserve">CAPÍTULO </w:t>
      </w:r>
      <w:r w:rsidR="0060639E" w:rsidRPr="00BE7307">
        <w:rPr>
          <w:rFonts w:ascii="Verdana" w:hAnsi="Verdana"/>
          <w:b/>
          <w:bCs/>
          <w:sz w:val="20"/>
          <w:szCs w:val="20"/>
        </w:rPr>
        <w:t>1</w:t>
      </w:r>
      <w:r w:rsidR="00A640ED">
        <w:rPr>
          <w:rFonts w:ascii="Verdana" w:hAnsi="Verdana"/>
          <w:b/>
          <w:bCs/>
          <w:sz w:val="20"/>
          <w:szCs w:val="20"/>
        </w:rPr>
        <w:t>1</w:t>
      </w:r>
    </w:p>
    <w:p w14:paraId="3F9900A3" w14:textId="2B36D68C" w:rsidR="00DA0C0E" w:rsidRPr="00BE7307" w:rsidRDefault="0060639E" w:rsidP="00721D02">
      <w:pPr>
        <w:spacing w:after="0"/>
        <w:jc w:val="center"/>
        <w:rPr>
          <w:rFonts w:ascii="Verdana" w:hAnsi="Verdana"/>
          <w:b/>
          <w:bCs/>
          <w:sz w:val="20"/>
          <w:szCs w:val="20"/>
        </w:rPr>
      </w:pPr>
      <w:r w:rsidRPr="00BE7307">
        <w:rPr>
          <w:rFonts w:ascii="Verdana" w:hAnsi="Verdana"/>
          <w:b/>
          <w:sz w:val="20"/>
          <w:szCs w:val="20"/>
          <w:lang w:val="es-ES"/>
        </w:rPr>
        <w:t>ENTIDADES ADMINISTRADORAS DE PENSIONES Y DE CESANTIA</w:t>
      </w:r>
    </w:p>
    <w:p w14:paraId="3AEDBD8A" w14:textId="77777777" w:rsidR="00721D02" w:rsidRPr="00BE7307" w:rsidRDefault="00721D02" w:rsidP="00721D02">
      <w:pPr>
        <w:spacing w:after="0"/>
        <w:jc w:val="center"/>
        <w:rPr>
          <w:rFonts w:ascii="Verdana" w:hAnsi="Verdana"/>
          <w:b/>
          <w:bCs/>
          <w:sz w:val="20"/>
          <w:szCs w:val="20"/>
        </w:rPr>
      </w:pPr>
    </w:p>
    <w:p w14:paraId="45377C64" w14:textId="78D75428" w:rsidR="00A77FC1" w:rsidRPr="00A77FC1" w:rsidRDefault="00A77FC1" w:rsidP="00A77FC1">
      <w:pPr>
        <w:tabs>
          <w:tab w:val="left" w:pos="540"/>
        </w:tabs>
        <w:spacing w:after="0" w:line="240" w:lineRule="auto"/>
        <w:jc w:val="center"/>
        <w:rPr>
          <w:rFonts w:ascii="Verdana" w:hAnsi="Verdana" w:cs="Arial"/>
          <w:b/>
          <w:sz w:val="20"/>
          <w:szCs w:val="20"/>
        </w:rPr>
      </w:pPr>
      <w:r w:rsidRPr="00A77FC1">
        <w:rPr>
          <w:rFonts w:ascii="Verdana" w:hAnsi="Verdana" w:cs="Arial"/>
          <w:b/>
          <w:sz w:val="20"/>
          <w:szCs w:val="20"/>
        </w:rPr>
        <w:t xml:space="preserve">SECCIÓN </w:t>
      </w:r>
      <w:r>
        <w:rPr>
          <w:rFonts w:ascii="Verdana" w:hAnsi="Verdana" w:cs="Arial"/>
          <w:b/>
          <w:sz w:val="20"/>
          <w:szCs w:val="20"/>
        </w:rPr>
        <w:t>3</w:t>
      </w:r>
    </w:p>
    <w:p w14:paraId="385C3A5B" w14:textId="6AE3EFED" w:rsidR="00A77FC1" w:rsidRPr="00BE7307" w:rsidRDefault="00A77FC1" w:rsidP="00A77FC1">
      <w:pPr>
        <w:ind w:right="-232"/>
        <w:jc w:val="center"/>
        <w:rPr>
          <w:rFonts w:ascii="Verdana" w:hAnsi="Verdana" w:cs="Arial"/>
          <w:sz w:val="20"/>
          <w:szCs w:val="20"/>
        </w:rPr>
      </w:pPr>
      <w:r w:rsidRPr="00BE7307">
        <w:rPr>
          <w:rFonts w:ascii="Verdana" w:hAnsi="Verdana" w:cs="Arial"/>
          <w:b/>
          <w:sz w:val="20"/>
          <w:szCs w:val="20"/>
        </w:rPr>
        <w:t>PROCEDIMIENTOS ESPECÍFICOS</w:t>
      </w:r>
    </w:p>
    <w:p w14:paraId="13434378" w14:textId="77777777" w:rsidR="0060639E" w:rsidRPr="00BE7307" w:rsidRDefault="0060639E" w:rsidP="0060639E">
      <w:pPr>
        <w:ind w:right="-232"/>
        <w:jc w:val="both"/>
        <w:rPr>
          <w:rFonts w:ascii="Verdana" w:hAnsi="Verdana" w:cs="Arial"/>
          <w:sz w:val="20"/>
          <w:szCs w:val="20"/>
        </w:rPr>
      </w:pPr>
    </w:p>
    <w:p w14:paraId="40000404" w14:textId="11D41916" w:rsidR="00042D6C" w:rsidRPr="00042D6C" w:rsidRDefault="00240F3C" w:rsidP="0060639E">
      <w:pPr>
        <w:ind w:right="-232"/>
        <w:jc w:val="both"/>
        <w:rPr>
          <w:rFonts w:ascii="Verdana" w:hAnsi="Verdana" w:cs="Arial"/>
          <w:b/>
          <w:bCs/>
          <w:sz w:val="20"/>
          <w:szCs w:val="20"/>
        </w:rPr>
      </w:pPr>
      <w:r>
        <w:rPr>
          <w:rFonts w:ascii="Verdana" w:hAnsi="Verdana" w:cs="Arial"/>
          <w:b/>
          <w:bCs/>
          <w:sz w:val="20"/>
          <w:szCs w:val="20"/>
        </w:rPr>
        <w:t>PROCEDIMIENTO D</w:t>
      </w:r>
      <w:r w:rsidRPr="00042D6C">
        <w:rPr>
          <w:rFonts w:ascii="Verdana" w:hAnsi="Verdana" w:cs="Arial"/>
          <w:b/>
          <w:bCs/>
          <w:sz w:val="20"/>
          <w:szCs w:val="20"/>
        </w:rPr>
        <w:t>E ANULACIÓN</w:t>
      </w:r>
    </w:p>
    <w:p w14:paraId="5BA6E185" w14:textId="26D41E21" w:rsidR="00042D6C" w:rsidRPr="00DD0D9F" w:rsidRDefault="00A640ED" w:rsidP="00042D6C">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042D6C" w:rsidRPr="00DD0D9F">
        <w:rPr>
          <w:rFonts w:ascii="Verdana" w:hAnsi="Verdana" w:cs="Arial"/>
          <w:bCs/>
          <w:sz w:val="20"/>
          <w:szCs w:val="20"/>
        </w:rPr>
        <w:t>.</w:t>
      </w:r>
      <w:r w:rsidR="00042D6C">
        <w:rPr>
          <w:rFonts w:ascii="Verdana" w:hAnsi="Verdana" w:cs="Arial"/>
          <w:bCs/>
          <w:sz w:val="20"/>
          <w:szCs w:val="20"/>
        </w:rPr>
        <w:t>3</w:t>
      </w:r>
      <w:r w:rsidR="00042D6C" w:rsidRPr="00DD0D9F">
        <w:rPr>
          <w:rFonts w:ascii="Verdana" w:hAnsi="Verdana" w:cs="Arial"/>
          <w:bCs/>
          <w:sz w:val="20"/>
          <w:szCs w:val="20"/>
        </w:rPr>
        <w:t>.</w:t>
      </w:r>
      <w:r w:rsidR="00042D6C">
        <w:rPr>
          <w:rFonts w:ascii="Verdana" w:hAnsi="Verdana" w:cs="Arial"/>
          <w:bCs/>
          <w:sz w:val="20"/>
          <w:szCs w:val="20"/>
        </w:rPr>
        <w:t>1.</w:t>
      </w:r>
    </w:p>
    <w:p w14:paraId="168011D6" w14:textId="47049A3F" w:rsidR="0060639E" w:rsidRPr="00BE7307" w:rsidRDefault="0060639E" w:rsidP="0060639E">
      <w:pPr>
        <w:ind w:right="-232"/>
        <w:jc w:val="both"/>
        <w:rPr>
          <w:rFonts w:ascii="Verdana" w:hAnsi="Verdana" w:cs="Arial"/>
          <w:sz w:val="20"/>
          <w:szCs w:val="20"/>
        </w:rPr>
      </w:pPr>
      <w:r w:rsidRPr="00BE7307">
        <w:rPr>
          <w:rFonts w:ascii="Verdana" w:hAnsi="Verdana" w:cs="Arial"/>
          <w:sz w:val="20"/>
          <w:szCs w:val="20"/>
        </w:rPr>
        <w:t xml:space="preserve">Las sumas recibidas por operaciones de consignación de aportes se deben abonar en las respectivas cuentas de patrimonio y traducir a unidades de acuerdo con el valor de la unidad que rige para las operaciones ese día. En el caso en el cual deba anularse la operación, se retirarán del patrimonio las mismas unidades que ingresaron, teniendo en cuenta que los rendimientos devengados por el mayor valor de la unidad no pertenecen al afiliado y, por tanto, se repartirán entre todos los afiliados el día de la anulación como un mayor ingreso del tipo de fondo de pensiones obligatorias o portafolio del fondo de cesantías que anula la operación. En el caso de los fondos </w:t>
      </w:r>
      <w:r w:rsidR="009517E4">
        <w:rPr>
          <w:rFonts w:ascii="Verdana" w:hAnsi="Verdana" w:cs="Arial"/>
          <w:sz w:val="20"/>
          <w:szCs w:val="20"/>
        </w:rPr>
        <w:t xml:space="preserve">voluntarios </w:t>
      </w:r>
      <w:r w:rsidRPr="00BE7307">
        <w:rPr>
          <w:rFonts w:ascii="Verdana" w:hAnsi="Verdana" w:cs="Arial"/>
          <w:sz w:val="20"/>
          <w:szCs w:val="20"/>
        </w:rPr>
        <w:t>de pensiones, los rendimientos devengados por las operaciones anuladas se registran como una cuenta por pagar, la cual se cancela el día siguiente con abono a la cuenta de ingreso correspondiente.</w:t>
      </w:r>
    </w:p>
    <w:p w14:paraId="061A2BBD" w14:textId="77777777" w:rsidR="00FD65BB" w:rsidRDefault="00D97195" w:rsidP="00FD65BB">
      <w:pPr>
        <w:ind w:right="-232"/>
        <w:jc w:val="both"/>
        <w:rPr>
          <w:rFonts w:ascii="Verdana" w:hAnsi="Verdana" w:cs="Arial"/>
          <w:b/>
          <w:bCs/>
          <w:sz w:val="20"/>
          <w:szCs w:val="20"/>
        </w:rPr>
      </w:pPr>
      <w:r w:rsidRPr="00D97195">
        <w:rPr>
          <w:rFonts w:ascii="Verdana" w:hAnsi="Verdana" w:cs="Arial"/>
          <w:b/>
          <w:bCs/>
          <w:sz w:val="20"/>
          <w:szCs w:val="20"/>
        </w:rPr>
        <w:t>PROCEDIMIENTO DE RETIROS</w:t>
      </w:r>
    </w:p>
    <w:p w14:paraId="77BA236F" w14:textId="350CA344" w:rsidR="00FD3CE1" w:rsidRPr="00FD65BB" w:rsidRDefault="0060639E" w:rsidP="00FD65BB">
      <w:pPr>
        <w:ind w:right="-232"/>
        <w:jc w:val="both"/>
        <w:rPr>
          <w:rFonts w:ascii="Verdana" w:hAnsi="Verdana" w:cs="Arial"/>
          <w:b/>
          <w:bCs/>
          <w:sz w:val="20"/>
          <w:szCs w:val="20"/>
        </w:rPr>
      </w:pPr>
      <w:r w:rsidRPr="00FD65BB">
        <w:rPr>
          <w:rFonts w:ascii="Verdana" w:hAnsi="Verdana" w:cs="Arial"/>
          <w:b/>
          <w:bCs/>
          <w:sz w:val="20"/>
          <w:szCs w:val="20"/>
        </w:rPr>
        <w:t xml:space="preserve">Tipos de fondos de pensiones obligatorias y portafolio del fondo de cesantía </w:t>
      </w:r>
    </w:p>
    <w:p w14:paraId="640D2BE0" w14:textId="09917091" w:rsidR="00FD3CE1" w:rsidRPr="00DD0D9F" w:rsidRDefault="00A640ED" w:rsidP="00FD3CE1">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FD3CE1" w:rsidRPr="00DD0D9F">
        <w:rPr>
          <w:rFonts w:ascii="Verdana" w:hAnsi="Verdana" w:cs="Arial"/>
          <w:bCs/>
          <w:sz w:val="20"/>
          <w:szCs w:val="20"/>
        </w:rPr>
        <w:t>.</w:t>
      </w:r>
      <w:r w:rsidR="00FD3CE1">
        <w:rPr>
          <w:rFonts w:ascii="Verdana" w:hAnsi="Verdana" w:cs="Arial"/>
          <w:bCs/>
          <w:sz w:val="20"/>
          <w:szCs w:val="20"/>
        </w:rPr>
        <w:t>3</w:t>
      </w:r>
      <w:r w:rsidR="00FD3CE1" w:rsidRPr="00DD0D9F">
        <w:rPr>
          <w:rFonts w:ascii="Verdana" w:hAnsi="Verdana" w:cs="Arial"/>
          <w:bCs/>
          <w:sz w:val="20"/>
          <w:szCs w:val="20"/>
        </w:rPr>
        <w:t>.</w:t>
      </w:r>
      <w:r w:rsidR="00FD3CE1">
        <w:rPr>
          <w:rFonts w:ascii="Verdana" w:hAnsi="Verdana" w:cs="Arial"/>
          <w:bCs/>
          <w:sz w:val="20"/>
          <w:szCs w:val="20"/>
        </w:rPr>
        <w:t>2.</w:t>
      </w:r>
    </w:p>
    <w:p w14:paraId="54E8B401" w14:textId="62F8D1E2" w:rsidR="0060639E" w:rsidRPr="00BE7307" w:rsidRDefault="0060639E" w:rsidP="6F14471E">
      <w:pPr>
        <w:ind w:right="-232"/>
        <w:jc w:val="both"/>
        <w:rPr>
          <w:rFonts w:ascii="Verdana" w:hAnsi="Verdana" w:cs="Arial"/>
          <w:sz w:val="20"/>
          <w:szCs w:val="20"/>
        </w:rPr>
      </w:pPr>
      <w:r w:rsidRPr="6F14471E">
        <w:rPr>
          <w:rFonts w:ascii="Verdana" w:hAnsi="Verdana" w:cs="Arial"/>
          <w:sz w:val="20"/>
          <w:szCs w:val="20"/>
        </w:rPr>
        <w:t xml:space="preserve">Las sumas que se paguen por cualquier concepto de retiros o traslados a otros tipos de fondos de pensiones obligatorias o portafolios del fondo de cesantías sólo se descuentan de las respectivas cuentas de patrimonio el día en que efectivamente se realicen los pagos. Esto quiere decir que el número de unidades del retiro se calcula con el valor de la unidad que rija para las operaciones del día de pago y no con el valor de la unidad que rija el día de la solicitud del respectivo retiro. Para estos efectos, se entiende como día de pago aquel en el cual se pongan a disposición del afiliado las sumas correspondientes al retiro respectivo. Teniendo en cuenta que de conformidad con lo dispuesto en la Ley 100 de 1993 los recursos del Sistema General de Pensiones están destinados exclusivamente a dicho sistema y no pertenecen a las entidades que los administran y que, de acuerdo con lo establecido en la citada Ley y </w:t>
      </w:r>
      <w:r w:rsidR="00FA50C4">
        <w:rPr>
          <w:rFonts w:ascii="Verdana" w:hAnsi="Verdana" w:cs="Arial"/>
          <w:sz w:val="20"/>
          <w:szCs w:val="20"/>
        </w:rPr>
        <w:t xml:space="preserve">en </w:t>
      </w:r>
      <w:r w:rsidRPr="6F14471E">
        <w:rPr>
          <w:rFonts w:ascii="Verdana" w:hAnsi="Verdana" w:cs="Arial"/>
          <w:sz w:val="20"/>
          <w:szCs w:val="20"/>
        </w:rPr>
        <w:t>el Estatuto Orgánico del Sistema Financiero</w:t>
      </w:r>
      <w:r w:rsidR="00FA50C4">
        <w:rPr>
          <w:rFonts w:ascii="Verdana" w:hAnsi="Verdana" w:cs="Arial"/>
          <w:sz w:val="20"/>
          <w:szCs w:val="20"/>
        </w:rPr>
        <w:t xml:space="preserve"> (EOSF)</w:t>
      </w:r>
      <w:r w:rsidRPr="6F14471E">
        <w:rPr>
          <w:rFonts w:ascii="Verdana" w:hAnsi="Verdana" w:cs="Arial"/>
          <w:sz w:val="20"/>
          <w:szCs w:val="20"/>
        </w:rPr>
        <w:t>, en su orden, los fondos de pensiones y de cesantía son patrimonios autónomos, propiedad de los afiliados, independientes</w:t>
      </w:r>
      <w:r w:rsidR="00FD3CE1" w:rsidRPr="6F14471E">
        <w:rPr>
          <w:rFonts w:ascii="Verdana" w:hAnsi="Verdana" w:cs="Arial"/>
          <w:sz w:val="20"/>
          <w:szCs w:val="20"/>
        </w:rPr>
        <w:t xml:space="preserve"> </w:t>
      </w:r>
      <w:r w:rsidRPr="6F14471E">
        <w:rPr>
          <w:rFonts w:ascii="Verdana" w:hAnsi="Verdana" w:cs="Arial"/>
          <w:sz w:val="20"/>
          <w:szCs w:val="20"/>
        </w:rPr>
        <w:t xml:space="preserve">del patrimonio de la administradora, en ningún caso se podrán destinar los recursos de los tipos de fondos de pensiones obligatorias o portafolios del fondo de cesantías al pago de obligaciones de la sociedad administradora o de cualquier otro tercero. </w:t>
      </w:r>
    </w:p>
    <w:p w14:paraId="2694C711" w14:textId="074D9E62" w:rsidR="00A5174F" w:rsidRPr="00DD0D9F" w:rsidRDefault="00A640ED" w:rsidP="00A5174F">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A5174F" w:rsidRPr="00DD0D9F">
        <w:rPr>
          <w:rFonts w:ascii="Verdana" w:hAnsi="Verdana" w:cs="Arial"/>
          <w:bCs/>
          <w:sz w:val="20"/>
          <w:szCs w:val="20"/>
        </w:rPr>
        <w:t>.</w:t>
      </w:r>
      <w:r w:rsidR="00A5174F">
        <w:rPr>
          <w:rFonts w:ascii="Verdana" w:hAnsi="Verdana" w:cs="Arial"/>
          <w:bCs/>
          <w:sz w:val="20"/>
          <w:szCs w:val="20"/>
        </w:rPr>
        <w:t>3</w:t>
      </w:r>
      <w:r w:rsidR="00A5174F" w:rsidRPr="00DD0D9F">
        <w:rPr>
          <w:rFonts w:ascii="Verdana" w:hAnsi="Verdana" w:cs="Arial"/>
          <w:bCs/>
          <w:sz w:val="20"/>
          <w:szCs w:val="20"/>
        </w:rPr>
        <w:t>.</w:t>
      </w:r>
      <w:r w:rsidR="00A5174F">
        <w:rPr>
          <w:rFonts w:ascii="Verdana" w:hAnsi="Verdana" w:cs="Arial"/>
          <w:bCs/>
          <w:sz w:val="20"/>
          <w:szCs w:val="20"/>
        </w:rPr>
        <w:t>3.</w:t>
      </w:r>
    </w:p>
    <w:p w14:paraId="20167430" w14:textId="77777777" w:rsidR="0060639E" w:rsidRPr="00BE7307" w:rsidRDefault="0060639E" w:rsidP="0060639E">
      <w:pPr>
        <w:ind w:right="-232"/>
        <w:jc w:val="both"/>
        <w:rPr>
          <w:rFonts w:ascii="Verdana" w:hAnsi="Verdana" w:cs="Arial"/>
          <w:sz w:val="20"/>
          <w:szCs w:val="20"/>
        </w:rPr>
      </w:pPr>
      <w:r w:rsidRPr="00BE7307">
        <w:rPr>
          <w:rFonts w:ascii="Verdana" w:hAnsi="Verdana" w:cs="Arial"/>
          <w:sz w:val="20"/>
          <w:szCs w:val="20"/>
        </w:rPr>
        <w:t>En el caso de retiros parciales de los fondos de cesantía, se afectará en primera medida, los saldos disponibles en la subcuenta de corto plazo y el remanente se deducirá de aquellos que se encuentren en la subcuenta de largo plazo, tal como se dispuso en el Decreto 4600 de 2009 y demás normas que lo adicionen o modifiquen.</w:t>
      </w:r>
    </w:p>
    <w:p w14:paraId="21DD7119" w14:textId="731795BC" w:rsidR="0034265B" w:rsidRPr="00DD0D9F" w:rsidRDefault="00A640ED" w:rsidP="0034265B">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34265B" w:rsidRPr="00DD0D9F">
        <w:rPr>
          <w:rFonts w:ascii="Verdana" w:hAnsi="Verdana" w:cs="Arial"/>
          <w:bCs/>
          <w:sz w:val="20"/>
          <w:szCs w:val="20"/>
        </w:rPr>
        <w:t>.</w:t>
      </w:r>
      <w:r w:rsidR="0034265B">
        <w:rPr>
          <w:rFonts w:ascii="Verdana" w:hAnsi="Verdana" w:cs="Arial"/>
          <w:bCs/>
          <w:sz w:val="20"/>
          <w:szCs w:val="20"/>
        </w:rPr>
        <w:t>3</w:t>
      </w:r>
      <w:r w:rsidR="0034265B" w:rsidRPr="00DD0D9F">
        <w:rPr>
          <w:rFonts w:ascii="Verdana" w:hAnsi="Verdana" w:cs="Arial"/>
          <w:bCs/>
          <w:sz w:val="20"/>
          <w:szCs w:val="20"/>
        </w:rPr>
        <w:t>.</w:t>
      </w:r>
      <w:r w:rsidR="00A5174F">
        <w:rPr>
          <w:rFonts w:ascii="Verdana" w:hAnsi="Verdana" w:cs="Arial"/>
          <w:bCs/>
          <w:sz w:val="20"/>
          <w:szCs w:val="20"/>
        </w:rPr>
        <w:t>4</w:t>
      </w:r>
      <w:r w:rsidR="0034265B">
        <w:rPr>
          <w:rFonts w:ascii="Verdana" w:hAnsi="Verdana" w:cs="Arial"/>
          <w:bCs/>
          <w:sz w:val="20"/>
          <w:szCs w:val="20"/>
        </w:rPr>
        <w:t>.</w:t>
      </w:r>
    </w:p>
    <w:p w14:paraId="3686CAAE" w14:textId="77777777" w:rsidR="0060639E" w:rsidRPr="00BE7307" w:rsidRDefault="0060639E" w:rsidP="0060639E">
      <w:pPr>
        <w:ind w:right="-232"/>
        <w:jc w:val="both"/>
        <w:rPr>
          <w:rFonts w:ascii="Verdana" w:hAnsi="Verdana" w:cs="Arial"/>
          <w:sz w:val="20"/>
          <w:szCs w:val="20"/>
        </w:rPr>
      </w:pPr>
      <w:r w:rsidRPr="00BE7307">
        <w:rPr>
          <w:rFonts w:ascii="Verdana" w:hAnsi="Verdana" w:cs="Arial"/>
          <w:sz w:val="20"/>
          <w:szCs w:val="20"/>
        </w:rPr>
        <w:t xml:space="preserve">En aquellos casos en que la sociedad administradora del fondo de cesantía realice los pagos de retiros del portafolio de largo plazo a través del portafolio de corto plazo, los mismos se contabilizarán de la siguiente manera: </w:t>
      </w:r>
    </w:p>
    <w:p w14:paraId="59F484C5" w14:textId="02C3CBA2" w:rsidR="0034265B" w:rsidRPr="00DD0D9F" w:rsidRDefault="00A640ED" w:rsidP="0034265B">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34265B" w:rsidRPr="00DD0D9F">
        <w:rPr>
          <w:rFonts w:ascii="Verdana" w:hAnsi="Verdana" w:cs="Arial"/>
          <w:bCs/>
          <w:sz w:val="20"/>
          <w:szCs w:val="20"/>
        </w:rPr>
        <w:t>.</w:t>
      </w:r>
      <w:r w:rsidR="0034265B">
        <w:rPr>
          <w:rFonts w:ascii="Verdana" w:hAnsi="Verdana" w:cs="Arial"/>
          <w:bCs/>
          <w:sz w:val="20"/>
          <w:szCs w:val="20"/>
        </w:rPr>
        <w:t>3</w:t>
      </w:r>
      <w:r w:rsidR="0034265B" w:rsidRPr="00DD0D9F">
        <w:rPr>
          <w:rFonts w:ascii="Verdana" w:hAnsi="Verdana" w:cs="Arial"/>
          <w:bCs/>
          <w:sz w:val="20"/>
          <w:szCs w:val="20"/>
        </w:rPr>
        <w:t>.</w:t>
      </w:r>
      <w:r w:rsidR="00A5174F">
        <w:rPr>
          <w:rFonts w:ascii="Verdana" w:hAnsi="Verdana" w:cs="Arial"/>
          <w:bCs/>
          <w:sz w:val="20"/>
          <w:szCs w:val="20"/>
        </w:rPr>
        <w:t>5</w:t>
      </w:r>
      <w:r w:rsidR="0034265B">
        <w:rPr>
          <w:rFonts w:ascii="Verdana" w:hAnsi="Verdana" w:cs="Arial"/>
          <w:bCs/>
          <w:sz w:val="20"/>
          <w:szCs w:val="20"/>
        </w:rPr>
        <w:t>.</w:t>
      </w:r>
    </w:p>
    <w:p w14:paraId="7992B5B2" w14:textId="5226E19E" w:rsidR="008E7358" w:rsidRPr="00C27142" w:rsidRDefault="0060639E" w:rsidP="00072835">
      <w:pPr>
        <w:ind w:right="-232"/>
        <w:jc w:val="both"/>
        <w:rPr>
          <w:rFonts w:ascii="Verdana" w:hAnsi="Verdana" w:cs="Arial"/>
          <w:sz w:val="20"/>
          <w:szCs w:val="20"/>
        </w:rPr>
      </w:pPr>
      <w:r w:rsidRPr="00BE7307">
        <w:rPr>
          <w:rFonts w:ascii="Verdana" w:hAnsi="Verdana" w:cs="Arial"/>
          <w:sz w:val="20"/>
          <w:szCs w:val="20"/>
        </w:rPr>
        <w:t xml:space="preserve">El portafolio de largo plazo contabilizará el valor de retiro con cargo a las cuentas de patrimonio y abono al disponible. Al momento de recibir los recursos, el portafolio de corto </w:t>
      </w:r>
      <w:r w:rsidRPr="00C27142">
        <w:rPr>
          <w:rFonts w:ascii="Verdana" w:hAnsi="Verdana" w:cs="Arial"/>
          <w:sz w:val="20"/>
          <w:szCs w:val="20"/>
        </w:rPr>
        <w:t>plazo los contabilizará con cargo al disponible y abono a la cuenta correspondiente del CUIF. La citada cuenta por pagar deberá cancelarse el mismo día de recepción de los recursos con abono al disponible, con el fin de poner a disposición de los respectivos beneficiarios, los mencionados pagos.</w:t>
      </w:r>
    </w:p>
    <w:p w14:paraId="2C6D5887" w14:textId="230C93E1" w:rsidR="0034265B" w:rsidRPr="00DD0D9F" w:rsidRDefault="00A640ED" w:rsidP="0034265B">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34265B" w:rsidRPr="00DD0D9F">
        <w:rPr>
          <w:rFonts w:ascii="Verdana" w:hAnsi="Verdana" w:cs="Arial"/>
          <w:bCs/>
          <w:sz w:val="20"/>
          <w:szCs w:val="20"/>
        </w:rPr>
        <w:t>.</w:t>
      </w:r>
      <w:r w:rsidR="0034265B">
        <w:rPr>
          <w:rFonts w:ascii="Verdana" w:hAnsi="Verdana" w:cs="Arial"/>
          <w:bCs/>
          <w:sz w:val="20"/>
          <w:szCs w:val="20"/>
        </w:rPr>
        <w:t>3</w:t>
      </w:r>
      <w:r w:rsidR="0034265B" w:rsidRPr="00DD0D9F">
        <w:rPr>
          <w:rFonts w:ascii="Verdana" w:hAnsi="Verdana" w:cs="Arial"/>
          <w:bCs/>
          <w:sz w:val="20"/>
          <w:szCs w:val="20"/>
        </w:rPr>
        <w:t>.</w:t>
      </w:r>
      <w:r w:rsidR="00A5174F">
        <w:rPr>
          <w:rFonts w:ascii="Verdana" w:hAnsi="Verdana" w:cs="Arial"/>
          <w:bCs/>
          <w:sz w:val="20"/>
          <w:szCs w:val="20"/>
        </w:rPr>
        <w:t>6</w:t>
      </w:r>
      <w:r w:rsidR="0034265B">
        <w:rPr>
          <w:rFonts w:ascii="Verdana" w:hAnsi="Verdana" w:cs="Arial"/>
          <w:bCs/>
          <w:sz w:val="20"/>
          <w:szCs w:val="20"/>
        </w:rPr>
        <w:t>.</w:t>
      </w:r>
    </w:p>
    <w:p w14:paraId="30600DA4" w14:textId="77777777" w:rsidR="0060639E" w:rsidRPr="00C27142" w:rsidRDefault="0060639E" w:rsidP="6F14471E">
      <w:pPr>
        <w:ind w:right="-232"/>
        <w:jc w:val="both"/>
        <w:rPr>
          <w:rFonts w:ascii="Verdana" w:hAnsi="Verdana" w:cs="Arial"/>
          <w:sz w:val="20"/>
          <w:szCs w:val="20"/>
        </w:rPr>
      </w:pPr>
      <w:r w:rsidRPr="6F14471E">
        <w:rPr>
          <w:rFonts w:ascii="Verdana" w:hAnsi="Verdana" w:cs="Arial"/>
          <w:sz w:val="20"/>
          <w:szCs w:val="20"/>
        </w:rPr>
        <w:t xml:space="preserve">En aquellos eventos en que la sociedad administradora de los tipos de fondos de pensiones obligatorias deba realizar pagos que involucren recursos de más de un tipo de fondo, los </w:t>
      </w:r>
      <w:r w:rsidRPr="6F14471E">
        <w:rPr>
          <w:rFonts w:ascii="Verdana" w:hAnsi="Verdana" w:cs="Arial"/>
          <w:sz w:val="20"/>
          <w:szCs w:val="20"/>
        </w:rPr>
        <w:lastRenderedPageBreak/>
        <w:t xml:space="preserve">mismos se efectuarán a través del tipo de fondo moderado. En consecuencia, dichos pagos se contabilizarán de la siguiente manera: </w:t>
      </w:r>
    </w:p>
    <w:p w14:paraId="50E6D259" w14:textId="5E228123" w:rsidR="0034265B" w:rsidRPr="00DD0D9F" w:rsidRDefault="00A640ED" w:rsidP="0034265B">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34265B" w:rsidRPr="00DD0D9F">
        <w:rPr>
          <w:rFonts w:ascii="Verdana" w:hAnsi="Verdana" w:cs="Arial"/>
          <w:bCs/>
          <w:sz w:val="20"/>
          <w:szCs w:val="20"/>
        </w:rPr>
        <w:t>.</w:t>
      </w:r>
      <w:r w:rsidR="0034265B">
        <w:rPr>
          <w:rFonts w:ascii="Verdana" w:hAnsi="Verdana" w:cs="Arial"/>
          <w:bCs/>
          <w:sz w:val="20"/>
          <w:szCs w:val="20"/>
        </w:rPr>
        <w:t>3</w:t>
      </w:r>
      <w:r w:rsidR="0034265B" w:rsidRPr="00DD0D9F">
        <w:rPr>
          <w:rFonts w:ascii="Verdana" w:hAnsi="Verdana" w:cs="Arial"/>
          <w:bCs/>
          <w:sz w:val="20"/>
          <w:szCs w:val="20"/>
        </w:rPr>
        <w:t>.</w:t>
      </w:r>
      <w:r w:rsidR="00A5174F">
        <w:rPr>
          <w:rFonts w:ascii="Verdana" w:hAnsi="Verdana" w:cs="Arial"/>
          <w:bCs/>
          <w:sz w:val="20"/>
          <w:szCs w:val="20"/>
        </w:rPr>
        <w:t>7</w:t>
      </w:r>
      <w:r w:rsidR="0034265B">
        <w:rPr>
          <w:rFonts w:ascii="Verdana" w:hAnsi="Verdana" w:cs="Arial"/>
          <w:bCs/>
          <w:sz w:val="20"/>
          <w:szCs w:val="20"/>
        </w:rPr>
        <w:t>.</w:t>
      </w:r>
    </w:p>
    <w:p w14:paraId="25E3CF97" w14:textId="496C26AB" w:rsidR="0060639E" w:rsidRDefault="0060639E" w:rsidP="6F14471E">
      <w:pPr>
        <w:ind w:right="-232"/>
        <w:jc w:val="both"/>
        <w:rPr>
          <w:rFonts w:ascii="Verdana" w:hAnsi="Verdana" w:cs="Arial"/>
          <w:sz w:val="20"/>
          <w:szCs w:val="20"/>
        </w:rPr>
      </w:pPr>
      <w:r w:rsidRPr="6F14471E">
        <w:rPr>
          <w:rFonts w:ascii="Verdana" w:hAnsi="Verdana" w:cs="Arial"/>
          <w:sz w:val="20"/>
          <w:szCs w:val="20"/>
        </w:rPr>
        <w:t xml:space="preserve">El tipo de fondo conservador, de mayor riesgo o especial de retiro programado contabilizará el valor del retiro con cargo a las cuentas de patrimonio y abono al disponible. Al momento de recibir los recursos, el tipo de fondo moderado los contabilizará con cargo al disponible y abono a la cuenta correspondiente del CUIF. La citada cuenta por pagar deberá cancelarse el mismo día de recepción de los recursos mediante el giro de </w:t>
      </w:r>
      <w:proofErr w:type="gramStart"/>
      <w:r w:rsidRPr="6F14471E">
        <w:rPr>
          <w:rFonts w:ascii="Verdana" w:hAnsi="Verdana" w:cs="Arial"/>
          <w:sz w:val="20"/>
          <w:szCs w:val="20"/>
        </w:rPr>
        <w:t>los mismos</w:t>
      </w:r>
      <w:proofErr w:type="gramEnd"/>
      <w:r w:rsidRPr="6F14471E">
        <w:rPr>
          <w:rFonts w:ascii="Verdana" w:hAnsi="Verdana" w:cs="Arial"/>
          <w:sz w:val="20"/>
          <w:szCs w:val="20"/>
        </w:rPr>
        <w:t xml:space="preserve"> al respectivo beneficiario, con abono al disponible.</w:t>
      </w:r>
    </w:p>
    <w:p w14:paraId="08EF9B0C" w14:textId="48922CAA" w:rsidR="00FD3CE1" w:rsidRPr="00FD65BB" w:rsidRDefault="0060639E" w:rsidP="00FD65BB">
      <w:pPr>
        <w:ind w:right="-232"/>
        <w:jc w:val="both"/>
        <w:rPr>
          <w:rFonts w:ascii="Verdana" w:hAnsi="Verdana" w:cs="Arial"/>
          <w:b/>
          <w:bCs/>
          <w:sz w:val="20"/>
          <w:szCs w:val="20"/>
        </w:rPr>
      </w:pPr>
      <w:r w:rsidRPr="00FD65BB">
        <w:rPr>
          <w:rFonts w:ascii="Verdana" w:hAnsi="Verdana" w:cs="Arial"/>
          <w:b/>
          <w:bCs/>
          <w:sz w:val="20"/>
          <w:szCs w:val="20"/>
        </w:rPr>
        <w:t>Fondos voluntari</w:t>
      </w:r>
      <w:r w:rsidR="00346344">
        <w:rPr>
          <w:rFonts w:ascii="Verdana" w:hAnsi="Verdana" w:cs="Arial"/>
          <w:b/>
          <w:bCs/>
          <w:sz w:val="20"/>
          <w:szCs w:val="20"/>
        </w:rPr>
        <w:t>o</w:t>
      </w:r>
      <w:r w:rsidRPr="00FD65BB">
        <w:rPr>
          <w:rFonts w:ascii="Verdana" w:hAnsi="Verdana" w:cs="Arial"/>
          <w:b/>
          <w:bCs/>
          <w:sz w:val="20"/>
          <w:szCs w:val="20"/>
        </w:rPr>
        <w:t>s</w:t>
      </w:r>
      <w:r w:rsidR="00346344">
        <w:rPr>
          <w:rFonts w:ascii="Verdana" w:hAnsi="Verdana" w:cs="Arial"/>
          <w:b/>
          <w:bCs/>
          <w:sz w:val="20"/>
          <w:szCs w:val="20"/>
        </w:rPr>
        <w:t xml:space="preserve"> de</w:t>
      </w:r>
      <w:r w:rsidR="00346344" w:rsidRPr="00FD65BB">
        <w:rPr>
          <w:rFonts w:ascii="Verdana" w:hAnsi="Verdana" w:cs="Arial"/>
          <w:b/>
          <w:bCs/>
          <w:sz w:val="20"/>
          <w:szCs w:val="20"/>
        </w:rPr>
        <w:t xml:space="preserve"> pensiones</w:t>
      </w:r>
    </w:p>
    <w:p w14:paraId="5FED6273" w14:textId="6A750B05" w:rsidR="00C01DD4" w:rsidRPr="00DD0D9F" w:rsidRDefault="00A640ED" w:rsidP="00C01DD4">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C01DD4" w:rsidRPr="00DD0D9F">
        <w:rPr>
          <w:rFonts w:ascii="Verdana" w:hAnsi="Verdana" w:cs="Arial"/>
          <w:bCs/>
          <w:sz w:val="20"/>
          <w:szCs w:val="20"/>
        </w:rPr>
        <w:t>.</w:t>
      </w:r>
      <w:r w:rsidR="00C01DD4">
        <w:rPr>
          <w:rFonts w:ascii="Verdana" w:hAnsi="Verdana" w:cs="Arial"/>
          <w:bCs/>
          <w:sz w:val="20"/>
          <w:szCs w:val="20"/>
        </w:rPr>
        <w:t>3</w:t>
      </w:r>
      <w:r w:rsidR="00C01DD4" w:rsidRPr="00DD0D9F">
        <w:rPr>
          <w:rFonts w:ascii="Verdana" w:hAnsi="Verdana" w:cs="Arial"/>
          <w:bCs/>
          <w:sz w:val="20"/>
          <w:szCs w:val="20"/>
        </w:rPr>
        <w:t>.</w:t>
      </w:r>
      <w:r w:rsidR="00C01DD4">
        <w:rPr>
          <w:rFonts w:ascii="Verdana" w:hAnsi="Verdana" w:cs="Arial"/>
          <w:bCs/>
          <w:sz w:val="20"/>
          <w:szCs w:val="20"/>
        </w:rPr>
        <w:t>8.</w:t>
      </w:r>
    </w:p>
    <w:p w14:paraId="2F9F9EEF" w14:textId="6B1BC2F5" w:rsidR="0060639E" w:rsidRPr="00FD3CE1" w:rsidRDefault="0060639E" w:rsidP="6F14471E">
      <w:pPr>
        <w:ind w:right="-232"/>
        <w:jc w:val="both"/>
        <w:rPr>
          <w:rFonts w:ascii="Verdana" w:hAnsi="Verdana" w:cs="Arial"/>
          <w:sz w:val="20"/>
          <w:szCs w:val="20"/>
        </w:rPr>
      </w:pPr>
      <w:r w:rsidRPr="6F14471E">
        <w:rPr>
          <w:rFonts w:ascii="Verdana" w:hAnsi="Verdana" w:cs="Arial"/>
          <w:sz w:val="20"/>
          <w:szCs w:val="20"/>
        </w:rPr>
        <w:t xml:space="preserve">Los pagos por concepto de retiros de aportes, o traslados a otros fondos, deben efectuarse al valor de la unidad que rige para las operaciones del día en que se causen los mismos, con cargo a cuentas de patrimonio y abono a cuentas por pagar. En consecuencia, el pago efectivo del retiro debe efectuarse a más tardar el día siguiente al de su causación, sin perjuicio de la observancia de los plazos establecidos en el reglamento respectivo. Para el efecto, se entiende como pago efectivo el día en que se colocan los recursos a disposición del beneficiario. </w:t>
      </w:r>
    </w:p>
    <w:p w14:paraId="7BFAF821" w14:textId="7B4F5348" w:rsidR="0060639E" w:rsidRPr="00FC016B" w:rsidRDefault="00FC016B" w:rsidP="0060639E">
      <w:pPr>
        <w:ind w:right="-232"/>
        <w:jc w:val="both"/>
        <w:rPr>
          <w:rFonts w:ascii="Verdana" w:hAnsi="Verdana" w:cs="Arial"/>
          <w:b/>
          <w:bCs/>
          <w:sz w:val="20"/>
          <w:szCs w:val="20"/>
        </w:rPr>
      </w:pPr>
      <w:r>
        <w:rPr>
          <w:rFonts w:ascii="Verdana" w:hAnsi="Verdana" w:cs="Arial"/>
          <w:b/>
          <w:bCs/>
          <w:sz w:val="20"/>
          <w:szCs w:val="20"/>
        </w:rPr>
        <w:t xml:space="preserve">PROCEDIMIENTO </w:t>
      </w:r>
      <w:r w:rsidRPr="003F31B4">
        <w:rPr>
          <w:rFonts w:ascii="Verdana" w:hAnsi="Verdana" w:cs="Arial"/>
          <w:b/>
          <w:bCs/>
          <w:sz w:val="20"/>
          <w:szCs w:val="20"/>
        </w:rPr>
        <w:t>DE TRAS</w:t>
      </w:r>
      <w:r w:rsidR="00581AF3">
        <w:rPr>
          <w:rFonts w:ascii="Verdana" w:hAnsi="Verdana" w:cs="Arial"/>
          <w:b/>
          <w:bCs/>
          <w:sz w:val="20"/>
          <w:szCs w:val="20"/>
        </w:rPr>
        <w:t>LADOS</w:t>
      </w:r>
      <w:r w:rsidRPr="003F31B4">
        <w:rPr>
          <w:rFonts w:ascii="Verdana" w:hAnsi="Verdana" w:cs="Arial"/>
          <w:b/>
          <w:bCs/>
          <w:sz w:val="20"/>
          <w:szCs w:val="20"/>
        </w:rPr>
        <w:t xml:space="preserve"> ENTRE TIPOS DE FONDOS O PORTAFOLIOS</w:t>
      </w:r>
    </w:p>
    <w:p w14:paraId="71D5BEE6" w14:textId="0DB10BE9" w:rsidR="003F31B4" w:rsidRPr="00DD0D9F" w:rsidRDefault="00A640ED" w:rsidP="003F31B4">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3F31B4" w:rsidRPr="00DD0D9F">
        <w:rPr>
          <w:rFonts w:ascii="Verdana" w:hAnsi="Verdana" w:cs="Arial"/>
          <w:bCs/>
          <w:sz w:val="20"/>
          <w:szCs w:val="20"/>
        </w:rPr>
        <w:t>.</w:t>
      </w:r>
      <w:r w:rsidR="003F31B4">
        <w:rPr>
          <w:rFonts w:ascii="Verdana" w:hAnsi="Verdana" w:cs="Arial"/>
          <w:bCs/>
          <w:sz w:val="20"/>
          <w:szCs w:val="20"/>
        </w:rPr>
        <w:t>3</w:t>
      </w:r>
      <w:r w:rsidR="003F31B4" w:rsidRPr="00DD0D9F">
        <w:rPr>
          <w:rFonts w:ascii="Verdana" w:hAnsi="Verdana" w:cs="Arial"/>
          <w:bCs/>
          <w:sz w:val="20"/>
          <w:szCs w:val="20"/>
        </w:rPr>
        <w:t>.</w:t>
      </w:r>
      <w:r w:rsidR="003F31B4">
        <w:rPr>
          <w:rFonts w:ascii="Verdana" w:hAnsi="Verdana" w:cs="Arial"/>
          <w:bCs/>
          <w:sz w:val="20"/>
          <w:szCs w:val="20"/>
        </w:rPr>
        <w:t>9.</w:t>
      </w:r>
    </w:p>
    <w:p w14:paraId="660DFF53" w14:textId="642C5AEF" w:rsidR="0060639E" w:rsidRPr="00BE7307" w:rsidRDefault="0060639E" w:rsidP="0060639E">
      <w:pPr>
        <w:ind w:right="-232"/>
        <w:jc w:val="both"/>
        <w:rPr>
          <w:rFonts w:ascii="Verdana" w:hAnsi="Verdana" w:cs="Arial"/>
          <w:b/>
          <w:sz w:val="20"/>
          <w:szCs w:val="20"/>
        </w:rPr>
      </w:pPr>
      <w:r w:rsidRPr="00BE7307">
        <w:rPr>
          <w:rFonts w:ascii="Verdana" w:hAnsi="Verdana" w:cs="Arial"/>
          <w:sz w:val="20"/>
          <w:szCs w:val="20"/>
        </w:rPr>
        <w:t>Los tras</w:t>
      </w:r>
      <w:r w:rsidR="005753B1">
        <w:rPr>
          <w:rFonts w:ascii="Verdana" w:hAnsi="Verdana" w:cs="Arial"/>
          <w:sz w:val="20"/>
          <w:szCs w:val="20"/>
        </w:rPr>
        <w:t>lados</w:t>
      </w:r>
      <w:r w:rsidRPr="00BE7307">
        <w:rPr>
          <w:rFonts w:ascii="Verdana" w:hAnsi="Verdana" w:cs="Arial"/>
          <w:sz w:val="20"/>
          <w:szCs w:val="20"/>
        </w:rPr>
        <w:t xml:space="preserve"> de recursos que se realicen entre los tipos de fondos de pensiones obligatorias o portafolios de los fondos de cesantía administrados por la misma sociedad administradora, sólo se descuentan de las respectivas cuentas de patrimonio del tipo de fondo o portafolio que los tras</w:t>
      </w:r>
      <w:r w:rsidR="00DC3C1E">
        <w:rPr>
          <w:rFonts w:ascii="Verdana" w:hAnsi="Verdana" w:cs="Arial"/>
          <w:sz w:val="20"/>
          <w:szCs w:val="20"/>
        </w:rPr>
        <w:t>lada</w:t>
      </w:r>
      <w:r w:rsidRPr="00BE7307">
        <w:rPr>
          <w:rFonts w:ascii="Verdana" w:hAnsi="Verdana" w:cs="Arial"/>
          <w:sz w:val="20"/>
          <w:szCs w:val="20"/>
        </w:rPr>
        <w:t>, el día en que efectivamente son recibidos dichos recursos en el tipo de fondo o portafolio al cual se tras</w:t>
      </w:r>
      <w:r w:rsidR="00DC3C1E">
        <w:rPr>
          <w:rFonts w:ascii="Verdana" w:hAnsi="Verdana" w:cs="Arial"/>
          <w:sz w:val="20"/>
          <w:szCs w:val="20"/>
        </w:rPr>
        <w:t>ladan</w:t>
      </w:r>
      <w:r w:rsidRPr="00BE7307">
        <w:rPr>
          <w:rFonts w:ascii="Verdana" w:hAnsi="Verdana" w:cs="Arial"/>
          <w:sz w:val="20"/>
          <w:szCs w:val="20"/>
        </w:rPr>
        <w:t>.</w:t>
      </w:r>
    </w:p>
    <w:p w14:paraId="00BEAF86" w14:textId="77777777" w:rsidR="0060639E" w:rsidRPr="00BE7307" w:rsidRDefault="0060639E" w:rsidP="0060639E">
      <w:pPr>
        <w:ind w:right="-232"/>
        <w:jc w:val="both"/>
        <w:rPr>
          <w:rFonts w:ascii="Verdana" w:hAnsi="Verdana"/>
          <w:spacing w:val="20"/>
          <w:sz w:val="20"/>
          <w:szCs w:val="20"/>
        </w:rPr>
      </w:pPr>
    </w:p>
    <w:sectPr w:rsidR="0060639E" w:rsidRPr="00BE7307"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63802" w14:textId="77777777" w:rsidR="00FF47C7" w:rsidRDefault="00FF47C7" w:rsidP="00057BF6">
      <w:pPr>
        <w:spacing w:after="0" w:line="240" w:lineRule="auto"/>
      </w:pPr>
      <w:r>
        <w:separator/>
      </w:r>
    </w:p>
  </w:endnote>
  <w:endnote w:type="continuationSeparator" w:id="0">
    <w:p w14:paraId="113A1304" w14:textId="77777777" w:rsidR="00FF47C7" w:rsidRDefault="00FF47C7"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C195A" w14:textId="77777777" w:rsidR="00FF47C7" w:rsidRDefault="00FF47C7" w:rsidP="00057BF6">
      <w:pPr>
        <w:spacing w:after="0" w:line="240" w:lineRule="auto"/>
      </w:pPr>
      <w:r>
        <w:separator/>
      </w:r>
    </w:p>
  </w:footnote>
  <w:footnote w:type="continuationSeparator" w:id="0">
    <w:p w14:paraId="5ED07BCD" w14:textId="77777777" w:rsidR="00FF47C7" w:rsidRDefault="00FF47C7"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3173F"/>
    <w:multiLevelType w:val="hybridMultilevel"/>
    <w:tmpl w:val="260E42EE"/>
    <w:lvl w:ilvl="0" w:tplc="240A0001">
      <w:start w:val="1"/>
      <w:numFmt w:val="bullet"/>
      <w:lvlText w:val=""/>
      <w:lvlJc w:val="left"/>
      <w:pPr>
        <w:ind w:left="720" w:hanging="360"/>
      </w:pPr>
      <w:rPr>
        <w:rFonts w:ascii="Symbol" w:hAnsi="Symbol" w:hint="default"/>
      </w:rPr>
    </w:lvl>
    <w:lvl w:ilvl="1" w:tplc="3D380656">
      <w:numFmt w:val="bullet"/>
      <w:lvlText w:val="-"/>
      <w:lvlJc w:val="left"/>
      <w:pPr>
        <w:ind w:left="1650" w:hanging="57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091306C"/>
    <w:multiLevelType w:val="hybridMultilevel"/>
    <w:tmpl w:val="F968976A"/>
    <w:lvl w:ilvl="0" w:tplc="E438C9F2">
      <w:start w:val="2"/>
      <w:numFmt w:val="lowerRoman"/>
      <w:lvlText w:val="%1."/>
      <w:lvlJc w:val="left"/>
      <w:pPr>
        <w:ind w:left="1287" w:hanging="72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2" w15:restartNumberingAfterBreak="0">
    <w:nsid w:val="10D450F4"/>
    <w:multiLevelType w:val="hybridMultilevel"/>
    <w:tmpl w:val="E71253F8"/>
    <w:lvl w:ilvl="0" w:tplc="256E738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9A056CF"/>
    <w:multiLevelType w:val="hybridMultilevel"/>
    <w:tmpl w:val="48C870E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F6326F"/>
    <w:multiLevelType w:val="hybridMultilevel"/>
    <w:tmpl w:val="2782034E"/>
    <w:lvl w:ilvl="0" w:tplc="3A8C8F7A">
      <w:start w:val="1"/>
      <w:numFmt w:val="lowerLetter"/>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B8E4B1A"/>
    <w:multiLevelType w:val="hybridMultilevel"/>
    <w:tmpl w:val="DDC0ABDA"/>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5252677"/>
    <w:multiLevelType w:val="hybridMultilevel"/>
    <w:tmpl w:val="960CCE5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39161A"/>
    <w:multiLevelType w:val="hybridMultilevel"/>
    <w:tmpl w:val="987C665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D1B11EA"/>
    <w:multiLevelType w:val="hybridMultilevel"/>
    <w:tmpl w:val="57AA698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7422899"/>
    <w:multiLevelType w:val="hybridMultilevel"/>
    <w:tmpl w:val="26C6F02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7485277"/>
    <w:multiLevelType w:val="hybridMultilevel"/>
    <w:tmpl w:val="7396DD6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92C7309"/>
    <w:multiLevelType w:val="hybridMultilevel"/>
    <w:tmpl w:val="1CA695EA"/>
    <w:lvl w:ilvl="0" w:tplc="A302F232">
      <w:start w:val="2"/>
      <w:numFmt w:val="lowerRoman"/>
      <w:lvlText w:val="%1."/>
      <w:lvlJc w:val="left"/>
      <w:pPr>
        <w:ind w:left="1287" w:hanging="72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2" w15:restartNumberingAfterBreak="0">
    <w:nsid w:val="4B164C41"/>
    <w:multiLevelType w:val="hybridMultilevel"/>
    <w:tmpl w:val="E5E07838"/>
    <w:lvl w:ilvl="0" w:tplc="2CD42C6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6B22BC5"/>
    <w:multiLevelType w:val="hybridMultilevel"/>
    <w:tmpl w:val="A1D846E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58ED3C8F"/>
    <w:multiLevelType w:val="hybridMultilevel"/>
    <w:tmpl w:val="A4BAE37A"/>
    <w:lvl w:ilvl="0" w:tplc="507E6F12">
      <w:start w:val="9"/>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6" w15:restartNumberingAfterBreak="0">
    <w:nsid w:val="59A851F7"/>
    <w:multiLevelType w:val="hybridMultilevel"/>
    <w:tmpl w:val="92CACA8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C2F3DFD"/>
    <w:multiLevelType w:val="hybridMultilevel"/>
    <w:tmpl w:val="1780C93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89C0899"/>
    <w:multiLevelType w:val="hybridMultilevel"/>
    <w:tmpl w:val="0FD475EE"/>
    <w:lvl w:ilvl="0" w:tplc="CE10B3FA">
      <w:start w:val="1"/>
      <w:numFmt w:val="lowerRoman"/>
      <w:lvlText w:val="%1."/>
      <w:lvlJc w:val="left"/>
      <w:pPr>
        <w:ind w:left="1080" w:hanging="720"/>
      </w:pPr>
      <w:rPr>
        <w:rFonts w:hint="default"/>
      </w:rPr>
    </w:lvl>
    <w:lvl w:ilvl="1" w:tplc="8EC48954">
      <w:start w:val="1"/>
      <w:numFmt w:val="lowerLetter"/>
      <w:lvlText w:val="%2."/>
      <w:lvlJc w:val="left"/>
      <w:pPr>
        <w:ind w:left="1650" w:hanging="57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00A0E00"/>
    <w:multiLevelType w:val="hybridMultilevel"/>
    <w:tmpl w:val="19C2A95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3624F17"/>
    <w:multiLevelType w:val="hybridMultilevel"/>
    <w:tmpl w:val="2608671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63F2949"/>
    <w:multiLevelType w:val="hybridMultilevel"/>
    <w:tmpl w:val="77789436"/>
    <w:lvl w:ilvl="0" w:tplc="B55C3D6A">
      <w:start w:val="1"/>
      <w:numFmt w:val="lowerRoman"/>
      <w:lvlText w:val="%1."/>
      <w:lvlJc w:val="left"/>
      <w:pPr>
        <w:ind w:left="1287" w:hanging="720"/>
      </w:pPr>
      <w:rPr>
        <w:rFonts w:hint="default"/>
        <w:b w:val="0"/>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22" w15:restartNumberingAfterBreak="0">
    <w:nsid w:val="7AE6173C"/>
    <w:multiLevelType w:val="hybridMultilevel"/>
    <w:tmpl w:val="F0EAD0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8432656">
    <w:abstractNumId w:val="14"/>
  </w:num>
  <w:num w:numId="2" w16cid:durableId="1830706745">
    <w:abstractNumId w:val="0"/>
  </w:num>
  <w:num w:numId="3" w16cid:durableId="831409789">
    <w:abstractNumId w:val="16"/>
  </w:num>
  <w:num w:numId="4" w16cid:durableId="1727215189">
    <w:abstractNumId w:val="2"/>
  </w:num>
  <w:num w:numId="5" w16cid:durableId="346567792">
    <w:abstractNumId w:val="21"/>
  </w:num>
  <w:num w:numId="6" w16cid:durableId="113257862">
    <w:abstractNumId w:val="10"/>
  </w:num>
  <w:num w:numId="7" w16cid:durableId="1639334126">
    <w:abstractNumId w:val="3"/>
  </w:num>
  <w:num w:numId="8" w16cid:durableId="171342135">
    <w:abstractNumId w:val="22"/>
  </w:num>
  <w:num w:numId="9" w16cid:durableId="1364593515">
    <w:abstractNumId w:val="7"/>
  </w:num>
  <w:num w:numId="10" w16cid:durableId="786236195">
    <w:abstractNumId w:val="20"/>
  </w:num>
  <w:num w:numId="11" w16cid:durableId="2008705889">
    <w:abstractNumId w:val="15"/>
  </w:num>
  <w:num w:numId="12" w16cid:durableId="1948661489">
    <w:abstractNumId w:val="1"/>
  </w:num>
  <w:num w:numId="13" w16cid:durableId="1967272833">
    <w:abstractNumId w:val="4"/>
  </w:num>
  <w:num w:numId="14" w16cid:durableId="1098721490">
    <w:abstractNumId w:val="8"/>
  </w:num>
  <w:num w:numId="15" w16cid:durableId="1470979247">
    <w:abstractNumId w:val="18"/>
  </w:num>
  <w:num w:numId="16" w16cid:durableId="312830032">
    <w:abstractNumId w:val="12"/>
  </w:num>
  <w:num w:numId="17" w16cid:durableId="1854106669">
    <w:abstractNumId w:val="6"/>
  </w:num>
  <w:num w:numId="18" w16cid:durableId="1655527089">
    <w:abstractNumId w:val="19"/>
  </w:num>
  <w:num w:numId="19" w16cid:durableId="2027826327">
    <w:abstractNumId w:val="11"/>
  </w:num>
  <w:num w:numId="20" w16cid:durableId="680817501">
    <w:abstractNumId w:val="9"/>
  </w:num>
  <w:num w:numId="21" w16cid:durableId="1244754831">
    <w:abstractNumId w:val="17"/>
  </w:num>
  <w:num w:numId="22" w16cid:durableId="670107456">
    <w:abstractNumId w:val="13"/>
  </w:num>
  <w:num w:numId="23" w16cid:durableId="1399288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24DE"/>
    <w:rsid w:val="000123B7"/>
    <w:rsid w:val="00033C42"/>
    <w:rsid w:val="000403F0"/>
    <w:rsid w:val="00042D6C"/>
    <w:rsid w:val="00057BF6"/>
    <w:rsid w:val="0006439D"/>
    <w:rsid w:val="0006736C"/>
    <w:rsid w:val="00072835"/>
    <w:rsid w:val="000807D7"/>
    <w:rsid w:val="00090860"/>
    <w:rsid w:val="000E74AF"/>
    <w:rsid w:val="000F00F0"/>
    <w:rsid w:val="001053D1"/>
    <w:rsid w:val="0013593B"/>
    <w:rsid w:val="00140852"/>
    <w:rsid w:val="00145D92"/>
    <w:rsid w:val="001773D6"/>
    <w:rsid w:val="0019791D"/>
    <w:rsid w:val="00197D7E"/>
    <w:rsid w:val="001B33D3"/>
    <w:rsid w:val="001B5187"/>
    <w:rsid w:val="001C5790"/>
    <w:rsid w:val="001C717D"/>
    <w:rsid w:val="001D2862"/>
    <w:rsid w:val="001F69A9"/>
    <w:rsid w:val="0021666A"/>
    <w:rsid w:val="00237B62"/>
    <w:rsid w:val="00237DB2"/>
    <w:rsid w:val="00240F3C"/>
    <w:rsid w:val="00273AC3"/>
    <w:rsid w:val="00280E28"/>
    <w:rsid w:val="0028352D"/>
    <w:rsid w:val="002B4F4A"/>
    <w:rsid w:val="002F5CF4"/>
    <w:rsid w:val="00301CB9"/>
    <w:rsid w:val="00314A26"/>
    <w:rsid w:val="00316D31"/>
    <w:rsid w:val="00336614"/>
    <w:rsid w:val="003414F0"/>
    <w:rsid w:val="0034265B"/>
    <w:rsid w:val="00346344"/>
    <w:rsid w:val="00351020"/>
    <w:rsid w:val="003714AE"/>
    <w:rsid w:val="003830AB"/>
    <w:rsid w:val="0038444C"/>
    <w:rsid w:val="0038780F"/>
    <w:rsid w:val="003922F9"/>
    <w:rsid w:val="00392FB5"/>
    <w:rsid w:val="003A5CFE"/>
    <w:rsid w:val="003A6DC6"/>
    <w:rsid w:val="003B1D5C"/>
    <w:rsid w:val="003B2D1D"/>
    <w:rsid w:val="003B4627"/>
    <w:rsid w:val="003C558F"/>
    <w:rsid w:val="003D21FB"/>
    <w:rsid w:val="003F31B4"/>
    <w:rsid w:val="00402FB4"/>
    <w:rsid w:val="0040498E"/>
    <w:rsid w:val="00404B47"/>
    <w:rsid w:val="00405030"/>
    <w:rsid w:val="00406D2B"/>
    <w:rsid w:val="0043223D"/>
    <w:rsid w:val="00433236"/>
    <w:rsid w:val="00433E1F"/>
    <w:rsid w:val="00437295"/>
    <w:rsid w:val="00460E49"/>
    <w:rsid w:val="0047077C"/>
    <w:rsid w:val="004877E3"/>
    <w:rsid w:val="004A1574"/>
    <w:rsid w:val="004A4717"/>
    <w:rsid w:val="004B0DAD"/>
    <w:rsid w:val="004B3B5D"/>
    <w:rsid w:val="005070DA"/>
    <w:rsid w:val="00516A88"/>
    <w:rsid w:val="00523048"/>
    <w:rsid w:val="005538AE"/>
    <w:rsid w:val="0055785C"/>
    <w:rsid w:val="00566973"/>
    <w:rsid w:val="005753B1"/>
    <w:rsid w:val="00581AF3"/>
    <w:rsid w:val="00586AE8"/>
    <w:rsid w:val="00596B88"/>
    <w:rsid w:val="005B4741"/>
    <w:rsid w:val="005C06CC"/>
    <w:rsid w:val="005D3925"/>
    <w:rsid w:val="005D4A48"/>
    <w:rsid w:val="005D6F14"/>
    <w:rsid w:val="005F31D3"/>
    <w:rsid w:val="0060639E"/>
    <w:rsid w:val="0061423F"/>
    <w:rsid w:val="00614A9F"/>
    <w:rsid w:val="00655330"/>
    <w:rsid w:val="00655849"/>
    <w:rsid w:val="00667CE1"/>
    <w:rsid w:val="006732B3"/>
    <w:rsid w:val="00696488"/>
    <w:rsid w:val="006A7553"/>
    <w:rsid w:val="006B0455"/>
    <w:rsid w:val="006B11D4"/>
    <w:rsid w:val="006B7F30"/>
    <w:rsid w:val="006D64B6"/>
    <w:rsid w:val="006E7C25"/>
    <w:rsid w:val="006F0F32"/>
    <w:rsid w:val="007075C1"/>
    <w:rsid w:val="00721D02"/>
    <w:rsid w:val="007267C6"/>
    <w:rsid w:val="00741BE5"/>
    <w:rsid w:val="00762BCD"/>
    <w:rsid w:val="007A302E"/>
    <w:rsid w:val="007A6B05"/>
    <w:rsid w:val="007B0B01"/>
    <w:rsid w:val="007E0DF4"/>
    <w:rsid w:val="007F58C0"/>
    <w:rsid w:val="00803C9E"/>
    <w:rsid w:val="00813493"/>
    <w:rsid w:val="00826E8E"/>
    <w:rsid w:val="008353A3"/>
    <w:rsid w:val="0085161E"/>
    <w:rsid w:val="008540D2"/>
    <w:rsid w:val="008639DF"/>
    <w:rsid w:val="00882E95"/>
    <w:rsid w:val="00887659"/>
    <w:rsid w:val="00893D06"/>
    <w:rsid w:val="008B2CCA"/>
    <w:rsid w:val="008B72C7"/>
    <w:rsid w:val="008E6349"/>
    <w:rsid w:val="008E7358"/>
    <w:rsid w:val="008F2EE4"/>
    <w:rsid w:val="008F48FC"/>
    <w:rsid w:val="009056D7"/>
    <w:rsid w:val="00910337"/>
    <w:rsid w:val="009340F4"/>
    <w:rsid w:val="009517E4"/>
    <w:rsid w:val="00956EC8"/>
    <w:rsid w:val="009571FD"/>
    <w:rsid w:val="009A2823"/>
    <w:rsid w:val="009A52ED"/>
    <w:rsid w:val="009B6D85"/>
    <w:rsid w:val="009C26BC"/>
    <w:rsid w:val="009D6127"/>
    <w:rsid w:val="00A139B1"/>
    <w:rsid w:val="00A352CF"/>
    <w:rsid w:val="00A41E5E"/>
    <w:rsid w:val="00A5174F"/>
    <w:rsid w:val="00A51D09"/>
    <w:rsid w:val="00A5336E"/>
    <w:rsid w:val="00A569B4"/>
    <w:rsid w:val="00A640ED"/>
    <w:rsid w:val="00A77FC1"/>
    <w:rsid w:val="00A81C91"/>
    <w:rsid w:val="00A86EC0"/>
    <w:rsid w:val="00AC2BB7"/>
    <w:rsid w:val="00B5620E"/>
    <w:rsid w:val="00B77499"/>
    <w:rsid w:val="00B77B92"/>
    <w:rsid w:val="00BC1D0F"/>
    <w:rsid w:val="00BC5DC7"/>
    <w:rsid w:val="00BD08E2"/>
    <w:rsid w:val="00BE43A4"/>
    <w:rsid w:val="00BE7307"/>
    <w:rsid w:val="00BF4A65"/>
    <w:rsid w:val="00C01DD4"/>
    <w:rsid w:val="00C13B2B"/>
    <w:rsid w:val="00C27142"/>
    <w:rsid w:val="00C27EDB"/>
    <w:rsid w:val="00C3629F"/>
    <w:rsid w:val="00C45F66"/>
    <w:rsid w:val="00C660A7"/>
    <w:rsid w:val="00C669DB"/>
    <w:rsid w:val="00C70218"/>
    <w:rsid w:val="00CC03A7"/>
    <w:rsid w:val="00CC3647"/>
    <w:rsid w:val="00CC6142"/>
    <w:rsid w:val="00CF65F3"/>
    <w:rsid w:val="00D131AC"/>
    <w:rsid w:val="00D15381"/>
    <w:rsid w:val="00D23AAA"/>
    <w:rsid w:val="00D42C83"/>
    <w:rsid w:val="00D831EB"/>
    <w:rsid w:val="00D859CB"/>
    <w:rsid w:val="00D97195"/>
    <w:rsid w:val="00DA0C0E"/>
    <w:rsid w:val="00DA18DF"/>
    <w:rsid w:val="00DB3370"/>
    <w:rsid w:val="00DC3C1E"/>
    <w:rsid w:val="00DD0D9F"/>
    <w:rsid w:val="00DE6674"/>
    <w:rsid w:val="00E03CCC"/>
    <w:rsid w:val="00E26106"/>
    <w:rsid w:val="00E35824"/>
    <w:rsid w:val="00E50276"/>
    <w:rsid w:val="00E519F6"/>
    <w:rsid w:val="00EC4A20"/>
    <w:rsid w:val="00ED1530"/>
    <w:rsid w:val="00ED39C0"/>
    <w:rsid w:val="00EF233A"/>
    <w:rsid w:val="00F03ACA"/>
    <w:rsid w:val="00F111B7"/>
    <w:rsid w:val="00F21AA2"/>
    <w:rsid w:val="00F2661A"/>
    <w:rsid w:val="00F45688"/>
    <w:rsid w:val="00F5502D"/>
    <w:rsid w:val="00F87409"/>
    <w:rsid w:val="00F94A06"/>
    <w:rsid w:val="00FA50C4"/>
    <w:rsid w:val="00FB4D07"/>
    <w:rsid w:val="00FC016B"/>
    <w:rsid w:val="00FD3CE1"/>
    <w:rsid w:val="00FD65BB"/>
    <w:rsid w:val="00FF47C7"/>
    <w:rsid w:val="6F1447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character" w:styleId="Textodelmarcadordeposicin">
    <w:name w:val="Placeholder Text"/>
    <w:basedOn w:val="Fuentedeprrafopredeter"/>
    <w:uiPriority w:val="99"/>
    <w:semiHidden/>
    <w:rsid w:val="00887659"/>
    <w:rPr>
      <w:color w:val="666666"/>
    </w:rPr>
  </w:style>
  <w:style w:type="paragraph" w:styleId="Revisin">
    <w:name w:val="Revision"/>
    <w:hidden/>
    <w:uiPriority w:val="99"/>
    <w:semiHidden/>
    <w:rsid w:val="00A139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38761-EBB0-4A1A-B54E-E64A375A9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076AA-2EC5-4C02-8F9A-A5768D8B8B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907</Words>
  <Characters>4593</Characters>
  <Application>Microsoft Office Word</Application>
  <DocSecurity>0</DocSecurity>
  <Lines>84</Lines>
  <Paragraphs>29</Paragraphs>
  <ScaleCrop>false</ScaleCrop>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28</cp:revision>
  <dcterms:created xsi:type="dcterms:W3CDTF">2024-12-10T17:06:00Z</dcterms:created>
  <dcterms:modified xsi:type="dcterms:W3CDTF">2026-04-13T14:34:00Z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78800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